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40" w:rsidRP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C6240">
        <w:rPr>
          <w:rFonts w:ascii="Times New Roman" w:hAnsi="Times New Roman" w:cs="Times New Roman"/>
          <w:sz w:val="24"/>
          <w:szCs w:val="24"/>
        </w:rPr>
        <w:t>ПРОЈЕКАТ: „</w:t>
      </w:r>
      <w:r w:rsidR="00ED5233">
        <w:rPr>
          <w:rFonts w:ascii="Times New Roman" w:hAnsi="Times New Roman" w:cs="Times New Roman"/>
          <w:sz w:val="24"/>
          <w:szCs w:val="24"/>
        </w:rPr>
        <w:t xml:space="preserve">ЗНАЧАЈ ХУМИЗАЦИЈЕ ЗЕМЉИШТА ЗА ПОДРУЧЈЕ ОПШТИНЕ </w:t>
      </w:r>
      <w:r w:rsidR="003D21F4">
        <w:rPr>
          <w:rFonts w:ascii="Times New Roman" w:hAnsi="Times New Roman" w:cs="Times New Roman"/>
          <w:sz w:val="24"/>
          <w:szCs w:val="24"/>
        </w:rPr>
        <w:t>МАЛИ ЗВОРНИК</w:t>
      </w:r>
      <w:r w:rsidR="00ED5233">
        <w:rPr>
          <w:rFonts w:ascii="Times New Roman" w:hAnsi="Times New Roman" w:cs="Times New Roman"/>
          <w:sz w:val="24"/>
          <w:szCs w:val="24"/>
        </w:rPr>
        <w:t xml:space="preserve"> И ИЗР</w:t>
      </w:r>
      <w:r w:rsidR="005B2721">
        <w:rPr>
          <w:rFonts w:ascii="Times New Roman" w:hAnsi="Times New Roman" w:cs="Times New Roman"/>
          <w:sz w:val="24"/>
          <w:szCs w:val="24"/>
        </w:rPr>
        <w:t>АДА ПРЕПОРУКА ЗА ХУМИЗАЦИЈУ ЗА 1</w:t>
      </w:r>
      <w:r w:rsidR="00931D01">
        <w:rPr>
          <w:rFonts w:ascii="Times New Roman" w:hAnsi="Times New Roman" w:cs="Times New Roman"/>
          <w:sz w:val="24"/>
          <w:szCs w:val="24"/>
        </w:rPr>
        <w:t>25</w:t>
      </w:r>
      <w:r w:rsidR="00ED5233">
        <w:rPr>
          <w:rFonts w:ascii="Times New Roman" w:hAnsi="Times New Roman" w:cs="Times New Roman"/>
          <w:sz w:val="24"/>
          <w:szCs w:val="24"/>
        </w:rPr>
        <w:t xml:space="preserve"> ПОЉОПРИВРЕДНИХ ГАЗДИНСТАВА</w:t>
      </w:r>
      <w:r w:rsidRPr="008C6240">
        <w:rPr>
          <w:rFonts w:ascii="Times New Roman" w:hAnsi="Times New Roman" w:cs="Times New Roman"/>
          <w:sz w:val="24"/>
          <w:szCs w:val="24"/>
        </w:rPr>
        <w:t>“</w:t>
      </w:r>
    </w:p>
    <w:p w:rsidR="008C6240" w:rsidRP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8C6240">
        <w:rPr>
          <w:rFonts w:ascii="Times New Roman" w:hAnsi="Times New Roman" w:cs="Times New Roman"/>
          <w:sz w:val="24"/>
          <w:szCs w:val="24"/>
        </w:rPr>
        <w:t>ТЕХНИЧКИ ОПИС</w:t>
      </w:r>
    </w:p>
    <w:p w:rsidR="00EF146A" w:rsidRPr="008C6240" w:rsidRDefault="00EF146A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F146A" w:rsidRPr="00110888" w:rsidRDefault="00EF146A" w:rsidP="00EF14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толико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осиромашено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деградирано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дуготрајне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неадекватне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експлоатације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садњом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најквалитетнијих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садница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сетвом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најквалитетнијих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постижу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ефекти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стотинак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највећој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житници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четвртине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милиона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хектара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обрадивог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имало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изнад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одсто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хумуса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данас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стота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њива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најквалитетнијих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одсто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обрадивих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опао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границе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изразите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плодности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дакле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одсто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46A" w:rsidRPr="00110888" w:rsidRDefault="00EF146A" w:rsidP="00EF14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присутна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слаба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квалитетних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органских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већим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количинама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поправке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ефекте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уношење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органске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материје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недостатак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квалитетне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органске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материје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превазићи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набавком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органских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146A" w:rsidRPr="00110888" w:rsidRDefault="00EF146A" w:rsidP="00EF14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Стајско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исхрани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биљака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двоструку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неопходним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хранивима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поправља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структуру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познато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стајњак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незаштићен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остаје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пољу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изгуби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четвртину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квалитативног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састава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такав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остане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десетак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изгубиће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трећине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квалитативног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састава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презими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пољу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стајско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изгуби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половину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квалитативног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састава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стајско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разбацивању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заорати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спрече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лоше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временске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прилике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прекрити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слојем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најлоном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учини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стајско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исушило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контакту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ваздухом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дошло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активирања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микро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организама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разградили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хранљиве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састојке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штетне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последице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разградње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испирања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убрзавају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ветрови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кишне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падавине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неповратно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изгубило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азота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испарио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амонијака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фосфор</w:t>
      </w:r>
      <w:proofErr w:type="spellEnd"/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калијум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отекли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</w:p>
    <w:p w:rsidR="00EF146A" w:rsidRPr="00110888" w:rsidRDefault="00EF146A" w:rsidP="00EF146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Сведоци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чињенице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деценије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сточни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нашим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теренима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дословце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преполовио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управо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сточна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грла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производе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стајско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говедо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произведе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тона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стајског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коњ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тона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овца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0,5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тона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стајског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ђубрива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Хранива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стајњака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ослобађају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50%,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30% и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трећој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животиња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Препоручује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уношење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40-50 т/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стајњака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четврте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дошли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ђубрења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стајњаком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сваке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четврте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условних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грла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хектару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110888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088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говори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скорије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довољне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стајњака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органских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материја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неопходних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високу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ратарских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воћарских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240" w:rsidRPr="00195741" w:rsidRDefault="00EF146A" w:rsidP="001957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агрохемијских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плодно</w:t>
      </w:r>
      <w:r w:rsidR="003D21F4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3D2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21F4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3D21F4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="003D2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1F4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3D2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1F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D21F4">
        <w:rPr>
          <w:rFonts w:ascii="Times New Roman" w:hAnsi="Times New Roman" w:cs="Times New Roman"/>
          <w:sz w:val="24"/>
          <w:szCs w:val="24"/>
        </w:rPr>
        <w:t xml:space="preserve"> 2016</w:t>
      </w:r>
      <w:r w:rsidRPr="00110888">
        <w:rPr>
          <w:rFonts w:ascii="Times New Roman" w:hAnsi="Times New Roman" w:cs="Times New Roman"/>
          <w:sz w:val="24"/>
          <w:szCs w:val="24"/>
        </w:rPr>
        <w:t>-20</w:t>
      </w:r>
      <w:r w:rsidR="00195741">
        <w:rPr>
          <w:rFonts w:ascii="Times New Roman" w:hAnsi="Times New Roman" w:cs="Times New Roman"/>
          <w:sz w:val="24"/>
          <w:szCs w:val="24"/>
        </w:rPr>
        <w:t>20</w:t>
      </w:r>
      <w:r w:rsidRPr="00110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74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9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1F4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="003D2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1F4"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процентуална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заступљеност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хумуса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сиромашно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r w:rsidR="00E04ADF">
        <w:rPr>
          <w:rFonts w:ascii="Times New Roman" w:hAnsi="Times New Roman" w:cs="Times New Roman"/>
          <w:sz w:val="24"/>
          <w:szCs w:val="24"/>
        </w:rPr>
        <w:t>40</w:t>
      </w:r>
      <w:r w:rsidRPr="0011088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r w:rsidR="00E04ADF">
        <w:rPr>
          <w:rFonts w:ascii="Times New Roman" w:hAnsi="Times New Roman" w:cs="Times New Roman"/>
          <w:sz w:val="24"/>
          <w:szCs w:val="24"/>
        </w:rPr>
        <w:t>50</w:t>
      </w:r>
      <w:r w:rsidR="00195741">
        <w:rPr>
          <w:rFonts w:ascii="Times New Roman" w:hAnsi="Times New Roman" w:cs="Times New Roman"/>
          <w:sz w:val="24"/>
          <w:szCs w:val="24"/>
        </w:rPr>
        <w:t xml:space="preserve">% и </w:t>
      </w:r>
      <w:proofErr w:type="spellStart"/>
      <w:r w:rsidR="00195741">
        <w:rPr>
          <w:rFonts w:ascii="Times New Roman" w:hAnsi="Times New Roman" w:cs="Times New Roman"/>
          <w:sz w:val="24"/>
          <w:szCs w:val="24"/>
        </w:rPr>
        <w:t>богато</w:t>
      </w:r>
      <w:proofErr w:type="spellEnd"/>
      <w:r w:rsidR="00195741">
        <w:rPr>
          <w:rFonts w:ascii="Times New Roman" w:hAnsi="Times New Roman" w:cs="Times New Roman"/>
          <w:sz w:val="24"/>
          <w:szCs w:val="24"/>
        </w:rPr>
        <w:t xml:space="preserve"> 1</w:t>
      </w:r>
      <w:r w:rsidR="00E04ADF">
        <w:rPr>
          <w:rFonts w:ascii="Times New Roman" w:hAnsi="Times New Roman" w:cs="Times New Roman"/>
          <w:sz w:val="24"/>
          <w:szCs w:val="24"/>
        </w:rPr>
        <w:t>0</w:t>
      </w:r>
      <w:r w:rsidRPr="00110888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тенденцијом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смањења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хумуса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088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110888">
        <w:rPr>
          <w:rFonts w:ascii="Times New Roman" w:hAnsi="Times New Roman" w:cs="Times New Roman"/>
          <w:sz w:val="24"/>
          <w:szCs w:val="24"/>
        </w:rPr>
        <w:t>.</w:t>
      </w:r>
    </w:p>
    <w:p w:rsidR="0078129B" w:rsidRDefault="0078129B" w:rsidP="0078129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242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Pr="00503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42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503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западном</w:t>
      </w:r>
      <w:proofErr w:type="spellEnd"/>
      <w:r w:rsidRPr="00503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42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503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Подрињу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североистока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Крупањ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југоистока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Љубовија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међудржавни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194F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публиком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супротној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9B" w:rsidRPr="0078129B" w:rsidRDefault="0078129B" w:rsidP="0078129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Површина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184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Мачванском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14.076,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домаћинстава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4.684.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километар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76,5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катастарских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надморској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размештена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брежуљкасто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брдима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200-350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брдско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надморске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350-600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сврставају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надморске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надморске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континентална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F6915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обухватити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915" w:rsidRPr="00194FDC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F08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="00A42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F08">
        <w:rPr>
          <w:rFonts w:ascii="Times New Roman" w:hAnsi="Times New Roman" w:cs="Times New Roman"/>
          <w:sz w:val="24"/>
          <w:szCs w:val="24"/>
        </w:rPr>
        <w:t>Зворник</w:t>
      </w:r>
      <w:proofErr w:type="spellEnd"/>
      <w:r w:rsidR="0019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9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DC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="00194FDC">
        <w:rPr>
          <w:rFonts w:ascii="Times New Roman" w:hAnsi="Times New Roman" w:cs="Times New Roman"/>
          <w:sz w:val="24"/>
          <w:szCs w:val="24"/>
        </w:rPr>
        <w:t xml:space="preserve"> </w:t>
      </w:r>
      <w:r w:rsidR="00EB24B5">
        <w:rPr>
          <w:rFonts w:ascii="Times New Roman" w:hAnsi="Times New Roman" w:cs="Times New Roman"/>
          <w:sz w:val="24"/>
          <w:szCs w:val="24"/>
          <w:lang/>
        </w:rPr>
        <w:t xml:space="preserve">узетих </w:t>
      </w:r>
      <w:r w:rsidR="00194FDC" w:rsidRPr="00194FDC">
        <w:rPr>
          <w:rFonts w:ascii="Times New Roman" w:hAnsi="Times New Roman" w:cs="Times New Roman"/>
          <w:b/>
          <w:sz w:val="24"/>
          <w:szCs w:val="24"/>
        </w:rPr>
        <w:t xml:space="preserve">400 </w:t>
      </w:r>
      <w:proofErr w:type="spellStart"/>
      <w:r w:rsidR="00194FDC" w:rsidRPr="00194FDC">
        <w:rPr>
          <w:rFonts w:ascii="Times New Roman" w:hAnsi="Times New Roman" w:cs="Times New Roman"/>
          <w:b/>
          <w:sz w:val="24"/>
          <w:szCs w:val="24"/>
        </w:rPr>
        <w:t>узорака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 xml:space="preserve"> (pH u H</w:t>
      </w:r>
      <w:r w:rsidR="00194FDC" w:rsidRPr="00194FD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94FDC">
        <w:rPr>
          <w:rFonts w:ascii="Times New Roman" w:hAnsi="Times New Roman" w:cs="Times New Roman"/>
          <w:b/>
          <w:sz w:val="24"/>
          <w:szCs w:val="24"/>
        </w:rPr>
        <w:t xml:space="preserve">O; pH u </w:t>
      </w:r>
      <w:proofErr w:type="spellStart"/>
      <w:r w:rsidR="00194FDC">
        <w:rPr>
          <w:rFonts w:ascii="Times New Roman" w:hAnsi="Times New Roman" w:cs="Times New Roman"/>
          <w:b/>
          <w:sz w:val="24"/>
          <w:szCs w:val="24"/>
        </w:rPr>
        <w:t>KCl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 xml:space="preserve">-u; </w:t>
      </w:r>
      <w:proofErr w:type="spellStart"/>
      <w:r w:rsidR="00194FDC">
        <w:rPr>
          <w:rFonts w:ascii="Times New Roman" w:hAnsi="Times New Roman" w:cs="Times New Roman"/>
          <w:b/>
          <w:sz w:val="24"/>
          <w:szCs w:val="24"/>
        </w:rPr>
        <w:t>карбонати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4FDC">
        <w:rPr>
          <w:rFonts w:ascii="Times New Roman" w:hAnsi="Times New Roman" w:cs="Times New Roman"/>
          <w:b/>
          <w:sz w:val="24"/>
          <w:szCs w:val="24"/>
        </w:rPr>
        <w:t>хумус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4FDC">
        <w:rPr>
          <w:rFonts w:ascii="Times New Roman" w:hAnsi="Times New Roman" w:cs="Times New Roman"/>
          <w:b/>
          <w:sz w:val="24"/>
          <w:szCs w:val="24"/>
        </w:rPr>
        <w:t>азот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4FDC">
        <w:rPr>
          <w:rFonts w:ascii="Times New Roman" w:hAnsi="Times New Roman" w:cs="Times New Roman"/>
          <w:b/>
          <w:sz w:val="24"/>
          <w:szCs w:val="24"/>
        </w:rPr>
        <w:t>лакоприступачни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4FDC">
        <w:rPr>
          <w:rFonts w:ascii="Times New Roman" w:hAnsi="Times New Roman" w:cs="Times New Roman"/>
          <w:b/>
          <w:sz w:val="24"/>
          <w:szCs w:val="24"/>
        </w:rPr>
        <w:t>фосфор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94FDC">
        <w:rPr>
          <w:rFonts w:ascii="Times New Roman" w:hAnsi="Times New Roman" w:cs="Times New Roman"/>
          <w:b/>
          <w:sz w:val="24"/>
          <w:szCs w:val="24"/>
        </w:rPr>
        <w:t>лакоприступачни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4FDC">
        <w:rPr>
          <w:rFonts w:ascii="Times New Roman" w:hAnsi="Times New Roman" w:cs="Times New Roman"/>
          <w:b/>
          <w:sz w:val="24"/>
          <w:szCs w:val="24"/>
        </w:rPr>
        <w:t>калијум</w:t>
      </w:r>
      <w:proofErr w:type="spellEnd"/>
      <w:r w:rsidR="00194FDC">
        <w:rPr>
          <w:rFonts w:ascii="Times New Roman" w:hAnsi="Times New Roman" w:cs="Times New Roman"/>
          <w:b/>
          <w:sz w:val="24"/>
          <w:szCs w:val="24"/>
        </w:rPr>
        <w:t>)</w:t>
      </w:r>
    </w:p>
    <w:p w:rsidR="001F6915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</w:p>
    <w:p w:rsidR="001F6915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упоредна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хумизације</w:t>
      </w:r>
      <w:proofErr w:type="spellEnd"/>
    </w:p>
    <w:p w:rsidR="001F6915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прорачун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хумизацију</w:t>
      </w:r>
      <w:proofErr w:type="spellEnd"/>
    </w:p>
    <w:p w:rsidR="001F6915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технолошки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хумизације</w:t>
      </w:r>
      <w:proofErr w:type="spellEnd"/>
    </w:p>
    <w:p w:rsidR="00A14F7B" w:rsidRPr="00A14F7B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ђ)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плодоред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хумизирају</w:t>
      </w:r>
      <w:proofErr w:type="spellEnd"/>
    </w:p>
    <w:p w:rsidR="00A14F7B" w:rsidRPr="00194FDC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D21F4">
        <w:rPr>
          <w:rFonts w:ascii="Times New Roman" w:hAnsi="Times New Roman" w:cs="Times New Roman"/>
          <w:sz w:val="24"/>
          <w:szCs w:val="24"/>
        </w:rPr>
        <w:t xml:space="preserve">) </w:t>
      </w:r>
      <w:r w:rsidR="00194FDC" w:rsidRPr="00194FDC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194FDC" w:rsidRPr="00194FDC">
        <w:rPr>
          <w:rFonts w:ascii="Times New Roman" w:hAnsi="Times New Roman" w:cs="Times New Roman"/>
          <w:b/>
          <w:sz w:val="24"/>
          <w:szCs w:val="24"/>
        </w:rPr>
        <w:t>предавања</w:t>
      </w:r>
      <w:proofErr w:type="spellEnd"/>
      <w:r w:rsidR="00A14F7B">
        <w:rPr>
          <w:rFonts w:ascii="Times New Roman" w:hAnsi="Times New Roman" w:cs="Times New Roman"/>
          <w:sz w:val="24"/>
          <w:szCs w:val="24"/>
        </w:rPr>
        <w:t xml:space="preserve"> </w:t>
      </w:r>
      <w:r w:rsidR="00194FD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94FDC">
        <w:rPr>
          <w:rFonts w:ascii="Times New Roman" w:hAnsi="Times New Roman" w:cs="Times New Roman"/>
          <w:sz w:val="24"/>
          <w:szCs w:val="24"/>
        </w:rPr>
        <w:t>Доња</w:t>
      </w:r>
      <w:proofErr w:type="spellEnd"/>
      <w:r w:rsidR="0019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DC">
        <w:rPr>
          <w:rFonts w:ascii="Times New Roman" w:hAnsi="Times New Roman" w:cs="Times New Roman"/>
          <w:sz w:val="24"/>
          <w:szCs w:val="24"/>
        </w:rPr>
        <w:t>Борина</w:t>
      </w:r>
      <w:proofErr w:type="spellEnd"/>
      <w:r w:rsidR="00194F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4FDC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="00194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DC">
        <w:rPr>
          <w:rFonts w:ascii="Times New Roman" w:hAnsi="Times New Roman" w:cs="Times New Roman"/>
          <w:sz w:val="24"/>
          <w:szCs w:val="24"/>
        </w:rPr>
        <w:t>Река</w:t>
      </w:r>
      <w:proofErr w:type="spellEnd"/>
      <w:r w:rsidR="00194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FDC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194FDC">
        <w:rPr>
          <w:rFonts w:ascii="Times New Roman" w:hAnsi="Times New Roman" w:cs="Times New Roman"/>
          <w:sz w:val="24"/>
          <w:szCs w:val="24"/>
        </w:rPr>
        <w:t>упознавање</w:t>
      </w:r>
      <w:proofErr w:type="spellEnd"/>
      <w:proofErr w:type="gramEnd"/>
      <w:r w:rsidR="00A1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F7B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="00A1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F7B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="00A1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F7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1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F7B">
        <w:rPr>
          <w:rFonts w:ascii="Times New Roman" w:hAnsi="Times New Roman" w:cs="Times New Roman"/>
          <w:sz w:val="24"/>
          <w:szCs w:val="24"/>
        </w:rPr>
        <w:t>датим</w:t>
      </w:r>
      <w:proofErr w:type="spellEnd"/>
      <w:r w:rsidR="00A14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F7B">
        <w:rPr>
          <w:rFonts w:ascii="Times New Roman" w:hAnsi="Times New Roman" w:cs="Times New Roman"/>
          <w:sz w:val="24"/>
          <w:szCs w:val="24"/>
        </w:rPr>
        <w:t>препорукама</w:t>
      </w:r>
      <w:proofErr w:type="spellEnd"/>
      <w:r w:rsidR="00A14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DC" w:rsidRPr="00194FDC" w:rsidRDefault="00194FDC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4FD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FDC">
        <w:rPr>
          <w:rFonts w:ascii="Times New Roman" w:hAnsi="Times New Roman" w:cs="Times New Roman"/>
          <w:b/>
          <w:sz w:val="24"/>
          <w:szCs w:val="24"/>
        </w:rPr>
        <w:t xml:space="preserve">150 </w:t>
      </w:r>
      <w:proofErr w:type="spellStart"/>
      <w:r w:rsidRPr="00194FDC">
        <w:rPr>
          <w:rFonts w:ascii="Times New Roman" w:hAnsi="Times New Roman" w:cs="Times New Roman"/>
          <w:b/>
          <w:sz w:val="24"/>
          <w:szCs w:val="24"/>
        </w:rPr>
        <w:t>пољопривредних</w:t>
      </w:r>
      <w:proofErr w:type="spellEnd"/>
      <w:r w:rsidRPr="00194F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FDC">
        <w:rPr>
          <w:rFonts w:ascii="Times New Roman" w:hAnsi="Times New Roman" w:cs="Times New Roman"/>
          <w:b/>
          <w:sz w:val="24"/>
          <w:szCs w:val="24"/>
        </w:rPr>
        <w:t>газдинстава</w:t>
      </w:r>
      <w:proofErr w:type="spellEnd"/>
      <w:r w:rsidRPr="00194FDC">
        <w:rPr>
          <w:rFonts w:ascii="Times New Roman" w:hAnsi="Times New Roman" w:cs="Times New Roman"/>
          <w:b/>
          <w:sz w:val="24"/>
          <w:szCs w:val="24"/>
        </w:rPr>
        <w:t xml:space="preserve"> – 8.000,00 </w:t>
      </w:r>
      <w:proofErr w:type="spellStart"/>
      <w:r w:rsidRPr="00194FDC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194F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FDC">
        <w:rPr>
          <w:rFonts w:ascii="Times New Roman" w:hAnsi="Times New Roman" w:cs="Times New Roman"/>
          <w:b/>
          <w:sz w:val="24"/>
          <w:szCs w:val="24"/>
        </w:rPr>
        <w:t>програму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15" w:rsidRPr="001F6915" w:rsidRDefault="001F691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240" w:rsidRDefault="00515005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3</w:t>
      </w:r>
      <w:r w:rsidR="003D21F4">
        <w:rPr>
          <w:rFonts w:ascii="Times New Roman" w:hAnsi="Times New Roman" w:cs="Times New Roman"/>
          <w:sz w:val="24"/>
          <w:szCs w:val="24"/>
        </w:rPr>
        <w:t>0</w:t>
      </w:r>
      <w:r w:rsidR="008C6240" w:rsidRPr="008C6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240" w:rsidRPr="008C624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8C6240" w:rsidRPr="008C62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4F7B" w:rsidRPr="00A14F7B" w:rsidRDefault="00A14F7B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Доставиће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4B5">
        <w:rPr>
          <w:rFonts w:ascii="Times New Roman" w:hAnsi="Times New Roman" w:cs="Times New Roman"/>
          <w:sz w:val="24"/>
          <w:szCs w:val="24"/>
          <w:lang/>
        </w:rPr>
        <w:t>пројекат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елабората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штампана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ЦД-у.</w:t>
      </w:r>
      <w:proofErr w:type="gramEnd"/>
    </w:p>
    <w:p w:rsidR="008C6240" w:rsidRPr="008C6240" w:rsidRDefault="008C6240" w:rsidP="008C6240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C6240" w:rsidRPr="008C6240" w:rsidRDefault="008C6240" w:rsidP="008C6240">
      <w:pPr>
        <w:pStyle w:val="BodyText"/>
        <w:rPr>
          <w:rFonts w:ascii="Times New Roman"/>
          <w:sz w:val="20"/>
        </w:rPr>
      </w:pPr>
    </w:p>
    <w:p w:rsidR="00A65666" w:rsidRDefault="00A65666">
      <w:pPr>
        <w:pStyle w:val="BodyText"/>
        <w:rPr>
          <w:rFonts w:ascii="Times New Roman"/>
          <w:sz w:val="20"/>
        </w:rPr>
      </w:pPr>
    </w:p>
    <w:p w:rsidR="00A65666" w:rsidRPr="00A53FCD" w:rsidRDefault="00A65666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65666" w:rsidRPr="0033691A" w:rsidRDefault="00A65666">
      <w:pPr>
        <w:pStyle w:val="BodyText"/>
        <w:rPr>
          <w:rFonts w:ascii="Times New Roman"/>
          <w:sz w:val="20"/>
        </w:rPr>
      </w:pPr>
    </w:p>
    <w:sectPr w:rsidR="00A65666" w:rsidRPr="0033691A" w:rsidSect="008C6240">
      <w:type w:val="continuous"/>
      <w:pgSz w:w="11990" w:h="16840"/>
      <w:pgMar w:top="1580" w:right="1120" w:bottom="280" w:left="1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800"/>
    <w:multiLevelType w:val="hybridMultilevel"/>
    <w:tmpl w:val="220A4EF6"/>
    <w:lvl w:ilvl="0" w:tplc="9AAAFA28">
      <w:start w:val="1"/>
      <w:numFmt w:val="lowerLetter"/>
      <w:lvlText w:val="%1)"/>
      <w:lvlJc w:val="left"/>
      <w:pPr>
        <w:ind w:left="1168" w:hanging="349"/>
        <w:jc w:val="right"/>
      </w:pPr>
      <w:rPr>
        <w:rFonts w:ascii="Calibri" w:eastAsia="Calibri" w:hAnsi="Calibri" w:cs="Calibri" w:hint="default"/>
        <w:w w:val="92"/>
        <w:sz w:val="22"/>
        <w:szCs w:val="22"/>
      </w:rPr>
    </w:lvl>
    <w:lvl w:ilvl="1" w:tplc="6922C5C2">
      <w:numFmt w:val="bullet"/>
      <w:lvlText w:val="•"/>
      <w:lvlJc w:val="left"/>
      <w:pPr>
        <w:ind w:left="2016" w:hanging="349"/>
      </w:pPr>
      <w:rPr>
        <w:rFonts w:hint="default"/>
      </w:rPr>
    </w:lvl>
    <w:lvl w:ilvl="2" w:tplc="45F4EFD8">
      <w:numFmt w:val="bullet"/>
      <w:lvlText w:val="•"/>
      <w:lvlJc w:val="left"/>
      <w:pPr>
        <w:ind w:left="2872" w:hanging="349"/>
      </w:pPr>
      <w:rPr>
        <w:rFonts w:hint="default"/>
      </w:rPr>
    </w:lvl>
    <w:lvl w:ilvl="3" w:tplc="C2C0CB78">
      <w:numFmt w:val="bullet"/>
      <w:lvlText w:val="•"/>
      <w:lvlJc w:val="left"/>
      <w:pPr>
        <w:ind w:left="3728" w:hanging="349"/>
      </w:pPr>
      <w:rPr>
        <w:rFonts w:hint="default"/>
      </w:rPr>
    </w:lvl>
    <w:lvl w:ilvl="4" w:tplc="6180E612">
      <w:numFmt w:val="bullet"/>
      <w:lvlText w:val="•"/>
      <w:lvlJc w:val="left"/>
      <w:pPr>
        <w:ind w:left="4584" w:hanging="349"/>
      </w:pPr>
      <w:rPr>
        <w:rFonts w:hint="default"/>
      </w:rPr>
    </w:lvl>
    <w:lvl w:ilvl="5" w:tplc="C7489248">
      <w:numFmt w:val="bullet"/>
      <w:lvlText w:val="•"/>
      <w:lvlJc w:val="left"/>
      <w:pPr>
        <w:ind w:left="5440" w:hanging="349"/>
      </w:pPr>
      <w:rPr>
        <w:rFonts w:hint="default"/>
      </w:rPr>
    </w:lvl>
    <w:lvl w:ilvl="6" w:tplc="3D6256C2">
      <w:numFmt w:val="bullet"/>
      <w:lvlText w:val="•"/>
      <w:lvlJc w:val="left"/>
      <w:pPr>
        <w:ind w:left="6296" w:hanging="349"/>
      </w:pPr>
      <w:rPr>
        <w:rFonts w:hint="default"/>
      </w:rPr>
    </w:lvl>
    <w:lvl w:ilvl="7" w:tplc="E2E85BCE">
      <w:numFmt w:val="bullet"/>
      <w:lvlText w:val="•"/>
      <w:lvlJc w:val="left"/>
      <w:pPr>
        <w:ind w:left="7152" w:hanging="349"/>
      </w:pPr>
      <w:rPr>
        <w:rFonts w:hint="default"/>
      </w:rPr>
    </w:lvl>
    <w:lvl w:ilvl="8" w:tplc="75E8B29E">
      <w:numFmt w:val="bullet"/>
      <w:lvlText w:val="•"/>
      <w:lvlJc w:val="left"/>
      <w:pPr>
        <w:ind w:left="8008" w:hanging="349"/>
      </w:pPr>
      <w:rPr>
        <w:rFonts w:hint="default"/>
      </w:rPr>
    </w:lvl>
  </w:abstractNum>
  <w:abstractNum w:abstractNumId="1">
    <w:nsid w:val="4F390005"/>
    <w:multiLevelType w:val="hybridMultilevel"/>
    <w:tmpl w:val="B99C4B0C"/>
    <w:lvl w:ilvl="0" w:tplc="31BEB484">
      <w:start w:val="2"/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5666"/>
    <w:rsid w:val="00194FDC"/>
    <w:rsid w:val="00195741"/>
    <w:rsid w:val="001F6915"/>
    <w:rsid w:val="002A1FFB"/>
    <w:rsid w:val="002B33DA"/>
    <w:rsid w:val="002E3F63"/>
    <w:rsid w:val="00313890"/>
    <w:rsid w:val="0033565A"/>
    <w:rsid w:val="0033691A"/>
    <w:rsid w:val="00346530"/>
    <w:rsid w:val="003D21F4"/>
    <w:rsid w:val="004362B2"/>
    <w:rsid w:val="00487946"/>
    <w:rsid w:val="004962B9"/>
    <w:rsid w:val="00515005"/>
    <w:rsid w:val="005A51C6"/>
    <w:rsid w:val="005B2721"/>
    <w:rsid w:val="006A3AF0"/>
    <w:rsid w:val="006E4513"/>
    <w:rsid w:val="0074659D"/>
    <w:rsid w:val="00747095"/>
    <w:rsid w:val="007656DC"/>
    <w:rsid w:val="0077301B"/>
    <w:rsid w:val="0078129B"/>
    <w:rsid w:val="007D55A9"/>
    <w:rsid w:val="00854841"/>
    <w:rsid w:val="008C6240"/>
    <w:rsid w:val="00925CA6"/>
    <w:rsid w:val="00931D01"/>
    <w:rsid w:val="009E1D3C"/>
    <w:rsid w:val="009E70E9"/>
    <w:rsid w:val="00A13508"/>
    <w:rsid w:val="00A14F7B"/>
    <w:rsid w:val="00A42F08"/>
    <w:rsid w:val="00A53FCD"/>
    <w:rsid w:val="00A65666"/>
    <w:rsid w:val="00A752F5"/>
    <w:rsid w:val="00A9358A"/>
    <w:rsid w:val="00B17053"/>
    <w:rsid w:val="00B42471"/>
    <w:rsid w:val="00B70FEA"/>
    <w:rsid w:val="00C12C23"/>
    <w:rsid w:val="00C77AFF"/>
    <w:rsid w:val="00D02229"/>
    <w:rsid w:val="00D86369"/>
    <w:rsid w:val="00DC7706"/>
    <w:rsid w:val="00E04ADF"/>
    <w:rsid w:val="00E25B36"/>
    <w:rsid w:val="00EB24B5"/>
    <w:rsid w:val="00ED5233"/>
    <w:rsid w:val="00EF146A"/>
    <w:rsid w:val="00F47FB0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566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5666"/>
  </w:style>
  <w:style w:type="paragraph" w:styleId="ListParagraph">
    <w:name w:val="List Paragraph"/>
    <w:basedOn w:val="Normal"/>
    <w:uiPriority w:val="1"/>
    <w:qFormat/>
    <w:rsid w:val="00A65666"/>
    <w:pPr>
      <w:spacing w:before="1"/>
      <w:ind w:left="1167" w:right="210" w:hanging="352"/>
      <w:jc w:val="both"/>
    </w:pPr>
  </w:style>
  <w:style w:type="paragraph" w:customStyle="1" w:styleId="TableParagraph">
    <w:name w:val="Table Paragraph"/>
    <w:basedOn w:val="Normal"/>
    <w:uiPriority w:val="1"/>
    <w:qFormat/>
    <w:rsid w:val="00A6566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5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F146A"/>
    <w:pPr>
      <w:widowControl/>
      <w:autoSpaceDE/>
      <w:autoSpaceDN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781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0BAF-502E-447C-AA08-B36CC1F9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slobodan</cp:lastModifiedBy>
  <cp:revision>4</cp:revision>
  <dcterms:created xsi:type="dcterms:W3CDTF">2022-03-18T06:14:00Z</dcterms:created>
  <dcterms:modified xsi:type="dcterms:W3CDTF">2022-03-18T06:18:00Z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Canon MF8200C Series</vt:lpwstr>
  </property>
  <property fmtid="{D5CDD505-2E9C-101B-9397-08002B2CF9AE}" pid="4" name="LastSaved">
    <vt:filetime>2021-01-11T00:00:00Z</vt:filetime>
  </property>
</Properties>
</file>