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DD" w:rsidRDefault="003902DD" w:rsidP="00897458">
      <w:pPr>
        <w:rPr>
          <w:b/>
          <w:i/>
          <w:iCs/>
          <w:sz w:val="22"/>
          <w:szCs w:val="22"/>
          <w:lang w:val="sr-Cyrl-CS"/>
        </w:rPr>
      </w:pPr>
    </w:p>
    <w:p w:rsidR="003902DD" w:rsidRDefault="003902DD" w:rsidP="00897458">
      <w:pPr>
        <w:rPr>
          <w:b/>
          <w:i/>
          <w:iCs/>
          <w:sz w:val="22"/>
          <w:szCs w:val="22"/>
          <w:lang w:val="sr-Cyrl-CS"/>
        </w:rPr>
      </w:pPr>
    </w:p>
    <w:p w:rsidR="003902DD" w:rsidRDefault="003902DD" w:rsidP="003902DD">
      <w:pPr>
        <w:jc w:val="center"/>
        <w:rPr>
          <w:b/>
          <w:i/>
          <w:iCs/>
          <w:sz w:val="22"/>
          <w:szCs w:val="22"/>
          <w:lang w:val="sr-Cyrl-CS"/>
        </w:rPr>
      </w:pPr>
      <w:r w:rsidRPr="003902DD">
        <w:rPr>
          <w:b/>
          <w:i/>
          <w:iCs/>
          <w:noProof/>
          <w:sz w:val="22"/>
          <w:szCs w:val="22"/>
        </w:rPr>
        <w:drawing>
          <wp:inline distT="0" distB="0" distL="0" distR="0">
            <wp:extent cx="1906905" cy="1906905"/>
            <wp:effectExtent l="19050" t="0" r="0" b="0"/>
            <wp:docPr id="1" name="Picture 1" descr="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DD" w:rsidRDefault="003902DD" w:rsidP="00897458">
      <w:pPr>
        <w:rPr>
          <w:b/>
          <w:i/>
          <w:iCs/>
          <w:sz w:val="22"/>
          <w:szCs w:val="22"/>
          <w:lang w:val="sr-Cyrl-CS"/>
        </w:rPr>
      </w:pPr>
    </w:p>
    <w:p w:rsidR="003902DD" w:rsidRDefault="003902DD" w:rsidP="003902DD">
      <w:pPr>
        <w:tabs>
          <w:tab w:val="left" w:pos="2715"/>
          <w:tab w:val="center" w:pos="4815"/>
        </w:tabs>
        <w:ind w:left="-720" w:right="-990"/>
        <w:rPr>
          <w:b/>
          <w:noProof/>
          <w:lang w:val="sr-Cyrl-BA"/>
        </w:rPr>
      </w:pPr>
      <w:r>
        <w:rPr>
          <w:b/>
          <w:noProof/>
          <w:lang w:val="sr-Cyrl-BA"/>
        </w:rPr>
        <w:tab/>
      </w:r>
      <w:r>
        <w:rPr>
          <w:b/>
          <w:noProof/>
          <w:lang w:val="sr-Cyrl-BA"/>
        </w:rPr>
        <w:tab/>
        <w:t>ТЕХНИЧКА СПЕЦИФИКАЦИЈА</w:t>
      </w:r>
    </w:p>
    <w:p w:rsidR="003902DD" w:rsidRDefault="003902DD" w:rsidP="003902DD">
      <w:pPr>
        <w:tabs>
          <w:tab w:val="left" w:pos="2715"/>
          <w:tab w:val="center" w:pos="4815"/>
        </w:tabs>
        <w:ind w:left="-720" w:right="-990"/>
        <w:rPr>
          <w:b/>
          <w:noProof/>
        </w:rPr>
      </w:pPr>
    </w:p>
    <w:p w:rsidR="00897458" w:rsidRPr="005D3578" w:rsidRDefault="00897458" w:rsidP="00897458">
      <w:pPr>
        <w:rPr>
          <w:b/>
          <w:iCs/>
          <w:sz w:val="22"/>
          <w:szCs w:val="22"/>
          <w:lang w:val="sr-Cyrl-CS"/>
        </w:rPr>
      </w:pPr>
      <w:r w:rsidRPr="005D3578">
        <w:rPr>
          <w:b/>
          <w:iCs/>
          <w:sz w:val="22"/>
          <w:szCs w:val="22"/>
          <w:lang w:val="sr-Cyrl-CS"/>
        </w:rPr>
        <w:t>Пројектни задатак</w:t>
      </w:r>
    </w:p>
    <w:p w:rsidR="00826F91" w:rsidRPr="00826F91" w:rsidRDefault="00826F91" w:rsidP="000A6355">
      <w:pPr>
        <w:jc w:val="both"/>
        <w:rPr>
          <w:iCs/>
          <w:sz w:val="22"/>
          <w:szCs w:val="22"/>
        </w:rPr>
      </w:pPr>
      <w:r w:rsidRPr="00826F91">
        <w:rPr>
          <w:sz w:val="22"/>
          <w:szCs w:val="22"/>
          <w:lang w:val="sr-Cyrl-BA"/>
        </w:rPr>
        <w:t xml:space="preserve">Израда плана детаљне регулације за изградњу постројења за пречишћавање отпадних вода </w:t>
      </w:r>
      <w:r w:rsidRPr="00826F91">
        <w:rPr>
          <w:sz w:val="22"/>
          <w:szCs w:val="22"/>
        </w:rPr>
        <w:t>и приступног пута</w:t>
      </w:r>
      <w:r w:rsidRPr="00826F91">
        <w:rPr>
          <w:sz w:val="22"/>
          <w:szCs w:val="22"/>
          <w:lang w:val="sr-Cyrl-BA"/>
        </w:rPr>
        <w:t xml:space="preserve"> на к.п. број 2327/2 КО Велика Река</w:t>
      </w:r>
      <w:r w:rsidRPr="00826F91">
        <w:rPr>
          <w:iCs/>
          <w:sz w:val="22"/>
          <w:szCs w:val="22"/>
          <w:lang w:val="sr-Cyrl-BA"/>
        </w:rPr>
        <w:t xml:space="preserve"> </w:t>
      </w:r>
    </w:p>
    <w:p w:rsidR="00826F91" w:rsidRDefault="00826F91" w:rsidP="000A6355">
      <w:pPr>
        <w:jc w:val="both"/>
        <w:rPr>
          <w:iCs/>
          <w:sz w:val="22"/>
          <w:szCs w:val="22"/>
        </w:rPr>
      </w:pPr>
    </w:p>
    <w:p w:rsidR="007B5AB5" w:rsidRDefault="007B5AB5" w:rsidP="000A6355">
      <w:pPr>
        <w:jc w:val="both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П</w:t>
      </w:r>
      <w:r w:rsidR="00D10B92" w:rsidRPr="008D6DA8">
        <w:rPr>
          <w:iCs/>
          <w:sz w:val="22"/>
          <w:szCs w:val="22"/>
          <w:lang w:val="sr-Cyrl-BA"/>
        </w:rPr>
        <w:t>лан детаљне регула</w:t>
      </w:r>
      <w:r w:rsidR="00AF7A3D" w:rsidRPr="008D6DA8">
        <w:rPr>
          <w:iCs/>
          <w:sz w:val="22"/>
          <w:szCs w:val="22"/>
          <w:lang w:val="sr-Cyrl-BA"/>
        </w:rPr>
        <w:t>ције</w:t>
      </w:r>
      <w:r>
        <w:rPr>
          <w:iCs/>
          <w:sz w:val="22"/>
          <w:szCs w:val="22"/>
          <w:lang w:val="sr-Cyrl-BA"/>
        </w:rPr>
        <w:t xml:space="preserve"> се ради за потребе изградње пречистача отпадних вода на делу територије који обухвата катастарску општину Велика Река. Према захтевима технологије пречистач треба да садржи главно постројење  тј. објекат пречистача као и пратеће објекте,што све укупно заузима површину  од око 10 ари од целокупне површине  катастарске  парцеле бр.2327/2.Обзиром да предметна кат.парцела обухвата зону приобаља и водених површина потребно је напоменути  следеће; за делове у којима се предвиђа трасирање нових саобраћајница , промена регулације и утврђивање јавног грађевинског земљишта  врши се израда и планова генералне/детаљне регулације.</w:t>
      </w:r>
    </w:p>
    <w:p w:rsidR="000A6355" w:rsidRPr="008D6DA8" w:rsidRDefault="000A6355" w:rsidP="000A6355">
      <w:pPr>
        <w:jc w:val="both"/>
        <w:rPr>
          <w:sz w:val="22"/>
          <w:szCs w:val="22"/>
          <w:lang w:val="sr-Cyrl-BA"/>
        </w:rPr>
      </w:pPr>
    </w:p>
    <w:p w:rsidR="000A6355" w:rsidRPr="008D6DA8" w:rsidRDefault="000A6355" w:rsidP="000A6355">
      <w:pPr>
        <w:jc w:val="both"/>
        <w:rPr>
          <w:sz w:val="22"/>
          <w:szCs w:val="22"/>
          <w:lang w:val="sr-Cyrl-BA"/>
        </w:rPr>
      </w:pPr>
      <w:r w:rsidRPr="008D6DA8">
        <w:rPr>
          <w:sz w:val="22"/>
          <w:szCs w:val="22"/>
          <w:lang w:val="sr-Cyrl-BA"/>
        </w:rPr>
        <w:t xml:space="preserve">Обухват Плана се налази у оквиру катастарске  општине </w:t>
      </w:r>
      <w:r w:rsidR="00826F91">
        <w:rPr>
          <w:sz w:val="22"/>
          <w:szCs w:val="22"/>
          <w:lang w:val="sr-Cyrl-BA"/>
        </w:rPr>
        <w:t>Велика Река</w:t>
      </w:r>
      <w:r w:rsidRPr="008D6DA8">
        <w:rPr>
          <w:sz w:val="22"/>
          <w:szCs w:val="22"/>
          <w:lang w:val="sr-Cyrl-BA"/>
        </w:rPr>
        <w:t xml:space="preserve">, у саставу зоне приобаља водених површина.План обухвата целу катастарску парцелу </w:t>
      </w:r>
      <w:r w:rsidR="00826F91">
        <w:rPr>
          <w:sz w:val="22"/>
          <w:szCs w:val="22"/>
          <w:lang w:val="sr-Cyrl-BA"/>
        </w:rPr>
        <w:t>2327/2</w:t>
      </w:r>
      <w:r w:rsidRPr="008D6DA8">
        <w:rPr>
          <w:sz w:val="22"/>
          <w:szCs w:val="22"/>
          <w:lang w:val="sr-Cyrl-BA"/>
        </w:rPr>
        <w:t xml:space="preserve"> </w:t>
      </w:r>
      <w:r w:rsidR="00BD1CF4">
        <w:rPr>
          <w:sz w:val="22"/>
          <w:szCs w:val="22"/>
          <w:lang w:val="sr-Cyrl-BA"/>
        </w:rPr>
        <w:t xml:space="preserve">у </w:t>
      </w:r>
      <w:r w:rsidRPr="008D6DA8">
        <w:rPr>
          <w:sz w:val="22"/>
          <w:szCs w:val="22"/>
          <w:lang w:val="sr-Cyrl-BA"/>
        </w:rPr>
        <w:t>површин</w:t>
      </w:r>
      <w:r w:rsidR="00BD1CF4">
        <w:rPr>
          <w:sz w:val="22"/>
          <w:szCs w:val="22"/>
          <w:lang w:val="sr-Cyrl-BA"/>
        </w:rPr>
        <w:t>и</w:t>
      </w:r>
      <w:r w:rsidRPr="008D6DA8">
        <w:rPr>
          <w:sz w:val="22"/>
          <w:szCs w:val="22"/>
          <w:lang w:val="sr-Cyrl-BA"/>
        </w:rPr>
        <w:t xml:space="preserve"> од око 10 ари на коју се додаје  и приступни пут постројењу у дужини оквирно око </w:t>
      </w:r>
      <w:r w:rsidR="00826F91">
        <w:rPr>
          <w:sz w:val="22"/>
          <w:szCs w:val="22"/>
          <w:lang w:val="sr-Cyrl-BA"/>
        </w:rPr>
        <w:t>5</w:t>
      </w:r>
      <w:r w:rsidRPr="008D6DA8">
        <w:rPr>
          <w:sz w:val="22"/>
          <w:szCs w:val="22"/>
          <w:lang w:val="sr-Cyrl-BA"/>
        </w:rPr>
        <w:t>0 м и ширине пута око 10м.</w:t>
      </w:r>
      <w:r w:rsidR="00826F91">
        <w:rPr>
          <w:sz w:val="22"/>
          <w:szCs w:val="22"/>
          <w:lang w:val="sr-Cyrl-BA"/>
        </w:rPr>
        <w:t xml:space="preserve"> </w:t>
      </w:r>
      <w:r w:rsidR="008D6DA8" w:rsidRPr="008D6DA8">
        <w:rPr>
          <w:sz w:val="22"/>
          <w:szCs w:val="22"/>
          <w:lang w:val="sr-Cyrl-BA"/>
        </w:rPr>
        <w:t>Приступни пут прелази пре</w:t>
      </w:r>
      <w:r w:rsidR="00826F91">
        <w:rPr>
          <w:sz w:val="22"/>
          <w:szCs w:val="22"/>
          <w:lang w:val="sr-Cyrl-BA"/>
        </w:rPr>
        <w:t>ко дела катастарске парцеле бр.2327/3</w:t>
      </w:r>
      <w:r w:rsidR="008D6DA8" w:rsidRPr="008D6DA8">
        <w:rPr>
          <w:sz w:val="22"/>
          <w:szCs w:val="22"/>
          <w:lang w:val="sr-Cyrl-BA"/>
        </w:rPr>
        <w:t xml:space="preserve"> КО </w:t>
      </w:r>
      <w:r w:rsidR="00826F91">
        <w:rPr>
          <w:sz w:val="22"/>
          <w:szCs w:val="22"/>
          <w:lang w:val="sr-Cyrl-BA"/>
        </w:rPr>
        <w:t>Велика Река</w:t>
      </w:r>
      <w:r w:rsidR="008D6DA8" w:rsidRPr="008D6DA8">
        <w:rPr>
          <w:sz w:val="22"/>
          <w:szCs w:val="22"/>
          <w:lang w:val="sr-Cyrl-BA"/>
        </w:rPr>
        <w:t>.</w:t>
      </w:r>
    </w:p>
    <w:p w:rsidR="00AF7A3D" w:rsidRPr="00C02BFA" w:rsidRDefault="00AF7A3D" w:rsidP="00D10B92">
      <w:pPr>
        <w:jc w:val="both"/>
        <w:rPr>
          <w:iCs/>
          <w:sz w:val="22"/>
          <w:szCs w:val="22"/>
          <w:lang w:val="sr-Cyrl-BA"/>
        </w:rPr>
      </w:pPr>
    </w:p>
    <w:p w:rsidR="00897458" w:rsidRPr="006B056C" w:rsidRDefault="00897458" w:rsidP="00897458">
      <w:pPr>
        <w:jc w:val="both"/>
        <w:rPr>
          <w:iCs/>
          <w:sz w:val="22"/>
          <w:szCs w:val="22"/>
          <w:u w:val="single"/>
          <w:lang w:val="sr-Cyrl-CS"/>
        </w:rPr>
      </w:pPr>
      <w:r w:rsidRPr="006B056C">
        <w:rPr>
          <w:iCs/>
          <w:sz w:val="22"/>
          <w:szCs w:val="22"/>
          <w:u w:val="single"/>
          <w:lang w:val="sr-Cyrl-CS"/>
        </w:rPr>
        <w:t>Правни основ за израду плана:</w:t>
      </w:r>
    </w:p>
    <w:p w:rsidR="00EC0B78" w:rsidRDefault="00EC0B78" w:rsidP="00EC0B78">
      <w:pPr>
        <w:jc w:val="both"/>
        <w:rPr>
          <w:color w:val="000000"/>
          <w:sz w:val="22"/>
          <w:szCs w:val="22"/>
          <w:lang w:val="sr-Cyrl-BA"/>
        </w:rPr>
      </w:pPr>
      <w:r>
        <w:rPr>
          <w:iCs/>
          <w:sz w:val="22"/>
          <w:szCs w:val="22"/>
          <w:lang w:val="sr-Cyrl-CS"/>
        </w:rPr>
        <w:t xml:space="preserve">-Закон о планирању и изградњи </w:t>
      </w:r>
      <w:r>
        <w:rPr>
          <w:color w:val="000000"/>
          <w:sz w:val="22"/>
          <w:szCs w:val="22"/>
        </w:rPr>
        <w:t xml:space="preserve">(“Сл. гласник РС”, бр. </w:t>
      </w:r>
      <w:r>
        <w:rPr>
          <w:color w:val="000000"/>
          <w:sz w:val="22"/>
          <w:szCs w:val="22"/>
          <w:lang w:val="sr-Cyrl-CS" w:eastAsia="ar-SA"/>
        </w:rPr>
        <w:t>72/</w:t>
      </w:r>
      <w:r>
        <w:rPr>
          <w:color w:val="000000"/>
          <w:sz w:val="22"/>
          <w:szCs w:val="22"/>
          <w:lang w:eastAsia="ar-SA"/>
        </w:rPr>
        <w:t>20</w:t>
      </w:r>
      <w:r>
        <w:rPr>
          <w:color w:val="000000"/>
          <w:sz w:val="22"/>
          <w:szCs w:val="22"/>
          <w:lang w:val="sr-Cyrl-CS" w:eastAsia="ar-SA"/>
        </w:rPr>
        <w:t>09, 81/</w:t>
      </w:r>
      <w:r>
        <w:rPr>
          <w:color w:val="000000"/>
          <w:sz w:val="22"/>
          <w:szCs w:val="22"/>
          <w:lang w:eastAsia="ar-SA"/>
        </w:rPr>
        <w:t>20</w:t>
      </w:r>
      <w:r>
        <w:rPr>
          <w:color w:val="000000"/>
          <w:sz w:val="22"/>
          <w:szCs w:val="22"/>
          <w:lang w:val="sr-Cyrl-CS" w:eastAsia="ar-SA"/>
        </w:rPr>
        <w:t>09-исправка, 64/</w:t>
      </w:r>
      <w:r>
        <w:rPr>
          <w:color w:val="000000"/>
          <w:sz w:val="22"/>
          <w:szCs w:val="22"/>
          <w:lang w:eastAsia="ar-SA"/>
        </w:rPr>
        <w:t>20</w:t>
      </w:r>
      <w:r>
        <w:rPr>
          <w:color w:val="000000"/>
          <w:sz w:val="22"/>
          <w:szCs w:val="22"/>
          <w:lang w:val="sr-Cyrl-CS" w:eastAsia="ar-SA"/>
        </w:rPr>
        <w:t xml:space="preserve">10 - </w:t>
      </w:r>
      <w:r>
        <w:rPr>
          <w:color w:val="000000"/>
          <w:sz w:val="22"/>
          <w:szCs w:val="22"/>
          <w:lang w:eastAsia="ar-SA"/>
        </w:rPr>
        <w:t xml:space="preserve">одлука </w:t>
      </w:r>
      <w:r>
        <w:rPr>
          <w:color w:val="000000"/>
          <w:sz w:val="22"/>
          <w:szCs w:val="22"/>
          <w:lang w:val="sr-Cyrl-CS" w:eastAsia="ar-SA"/>
        </w:rPr>
        <w:t>УС, 24/</w:t>
      </w:r>
      <w:r>
        <w:rPr>
          <w:color w:val="000000"/>
          <w:sz w:val="22"/>
          <w:szCs w:val="22"/>
          <w:lang w:eastAsia="ar-SA"/>
        </w:rPr>
        <w:t>20</w:t>
      </w:r>
      <w:r>
        <w:rPr>
          <w:color w:val="000000"/>
          <w:sz w:val="22"/>
          <w:szCs w:val="22"/>
          <w:lang w:val="sr-Cyrl-CS" w:eastAsia="ar-SA"/>
        </w:rPr>
        <w:t>11,</w:t>
      </w:r>
      <w:r>
        <w:rPr>
          <w:color w:val="000000"/>
          <w:sz w:val="22"/>
          <w:szCs w:val="22"/>
          <w:lang w:eastAsia="ar-SA"/>
        </w:rPr>
        <w:t xml:space="preserve"> 121/2012, 42/2013-одлука УС, </w:t>
      </w:r>
      <w:r>
        <w:rPr>
          <w:color w:val="000000"/>
          <w:kern w:val="2"/>
          <w:sz w:val="22"/>
          <w:szCs w:val="22"/>
          <w:lang w:eastAsia="ar-SA"/>
        </w:rPr>
        <w:t>50/2013-одлука УС, 54/2013-одлука УС и 98/2013 – одлука УС</w:t>
      </w:r>
      <w:r>
        <w:rPr>
          <w:color w:val="000000"/>
          <w:kern w:val="2"/>
          <w:sz w:val="22"/>
          <w:szCs w:val="22"/>
          <w:lang w:val="sr-Cyrl-CS" w:eastAsia="ar-SA"/>
        </w:rPr>
        <w:t xml:space="preserve">, </w:t>
      </w:r>
      <w:r>
        <w:rPr>
          <w:color w:val="000000"/>
          <w:sz w:val="22"/>
          <w:szCs w:val="22"/>
          <w:lang w:val="sr-Cyrl-CS" w:eastAsia="ar-SA"/>
        </w:rPr>
        <w:t>145/</w:t>
      </w:r>
      <w:r>
        <w:rPr>
          <w:color w:val="000000"/>
          <w:sz w:val="22"/>
          <w:szCs w:val="22"/>
          <w:lang w:eastAsia="ar-SA"/>
        </w:rPr>
        <w:t>20</w:t>
      </w:r>
      <w:r>
        <w:rPr>
          <w:color w:val="000000"/>
          <w:sz w:val="22"/>
          <w:szCs w:val="22"/>
          <w:lang w:val="sr-Cyrl-CS" w:eastAsia="ar-SA"/>
        </w:rPr>
        <w:t>14,83/2018</w:t>
      </w:r>
      <w:r>
        <w:rPr>
          <w:color w:val="000000"/>
          <w:sz w:val="22"/>
          <w:szCs w:val="22"/>
          <w:lang w:eastAsia="ar-SA"/>
        </w:rPr>
        <w:t>, 31/2019, 37/2019-др.закон, 9/2020 и 52/2021</w:t>
      </w:r>
      <w:r>
        <w:rPr>
          <w:color w:val="000000"/>
          <w:sz w:val="22"/>
          <w:szCs w:val="22"/>
        </w:rPr>
        <w:t>)</w:t>
      </w:r>
    </w:p>
    <w:p w:rsidR="00EC0B78" w:rsidRDefault="00EC0B78" w:rsidP="00EC0B78">
      <w:pPr>
        <w:jc w:val="both"/>
        <w:rPr>
          <w:sz w:val="22"/>
          <w:szCs w:val="22"/>
        </w:rPr>
      </w:pPr>
      <w:r>
        <w:rPr>
          <w:sz w:val="22"/>
          <w:szCs w:val="22"/>
        </w:rPr>
        <w:t>-Правилник о садржини,начину и поступку израде докумената просторног и урбанистичког планирања (“Сл.Гласник  РС“,бр.31/10,69/10,16/11</w:t>
      </w:r>
      <w:r>
        <w:rPr>
          <w:sz w:val="22"/>
          <w:szCs w:val="22"/>
          <w:lang w:val="sr-Cyrl-BA"/>
        </w:rPr>
        <w:t>,</w:t>
      </w:r>
      <w:r>
        <w:rPr>
          <w:sz w:val="22"/>
          <w:szCs w:val="22"/>
        </w:rPr>
        <w:t xml:space="preserve"> 64/2015</w:t>
      </w:r>
      <w:r>
        <w:rPr>
          <w:sz w:val="22"/>
          <w:szCs w:val="22"/>
          <w:lang w:val="sr-Cyrl-BA"/>
        </w:rPr>
        <w:t>,32/2019</w:t>
      </w:r>
      <w:r>
        <w:rPr>
          <w:sz w:val="22"/>
          <w:szCs w:val="22"/>
        </w:rPr>
        <w:t>)</w:t>
      </w:r>
      <w:r>
        <w:rPr>
          <w:rFonts w:ascii="Arial" w:hAnsi="Arial" w:cs="Arial"/>
          <w:color w:val="FFFFFF"/>
          <w:shd w:val="clear" w:color="auto" w:fill="F8F8F8"/>
        </w:rPr>
        <w:t xml:space="preserve"> </w:t>
      </w:r>
    </w:p>
    <w:p w:rsidR="00EC0B78" w:rsidRDefault="00EC0B78" w:rsidP="00EC0B78">
      <w:pPr>
        <w:jc w:val="both"/>
        <w:rPr>
          <w:sz w:val="22"/>
          <w:szCs w:val="22"/>
        </w:rPr>
      </w:pPr>
      <w:r>
        <w:rPr>
          <w:sz w:val="22"/>
          <w:szCs w:val="22"/>
        </w:rPr>
        <w:t>-Закон о заштити природе(“Сл.Гласник  РС“,бр.36/09,88/2010 и 91/2010-испр.,95/2018-др.закон 71/2021)</w:t>
      </w:r>
    </w:p>
    <w:p w:rsidR="00EC0B78" w:rsidRDefault="00EC0B78" w:rsidP="00EC0B78">
      <w:pPr>
        <w:jc w:val="both"/>
        <w:rPr>
          <w:sz w:val="22"/>
          <w:szCs w:val="22"/>
        </w:rPr>
      </w:pPr>
      <w:r>
        <w:rPr>
          <w:iCs/>
          <w:sz w:val="22"/>
          <w:szCs w:val="22"/>
          <w:lang w:val="sr-Cyrl-BA"/>
        </w:rPr>
        <w:t xml:space="preserve">-Закон о процени утицаја  на животну средину </w:t>
      </w:r>
      <w:r>
        <w:rPr>
          <w:sz w:val="22"/>
          <w:szCs w:val="22"/>
        </w:rPr>
        <w:t>(“Сл.Гласник  РС“,бр.135/04,36/09)</w:t>
      </w:r>
    </w:p>
    <w:p w:rsidR="00EC0B78" w:rsidRDefault="00EC0B78" w:rsidP="00EC0B78">
      <w:pPr>
        <w:jc w:val="both"/>
        <w:rPr>
          <w:sz w:val="22"/>
          <w:szCs w:val="22"/>
        </w:rPr>
      </w:pPr>
      <w:r>
        <w:rPr>
          <w:sz w:val="22"/>
          <w:szCs w:val="22"/>
        </w:rPr>
        <w:t>-Закон о јавним путевима (“Сл.Гласник  РС“,бр.101/05,123/07,101/11,93/12 , 104/13 и 95/2018-др.закон)</w:t>
      </w:r>
    </w:p>
    <w:p w:rsidR="00EC0B78" w:rsidRDefault="00EC0B78" w:rsidP="00EC0B78">
      <w:pPr>
        <w:jc w:val="both"/>
        <w:rPr>
          <w:sz w:val="22"/>
          <w:szCs w:val="22"/>
        </w:rPr>
      </w:pPr>
      <w:r>
        <w:rPr>
          <w:sz w:val="22"/>
          <w:szCs w:val="22"/>
        </w:rPr>
        <w:t>-Уредба о категоризацији  државних путева (Сл.Гласник РС“, бр.105/2013,119/2013 и 93/2015)</w:t>
      </w:r>
    </w:p>
    <w:p w:rsidR="00EC0B78" w:rsidRDefault="00EC0B78" w:rsidP="00EC0B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-Статута општине Мали Зворник („Сл.лист општине Мали Зворник“,бр. </w:t>
      </w:r>
      <w:r>
        <w:rPr>
          <w:sz w:val="22"/>
          <w:szCs w:val="22"/>
          <w:lang w:val="sr-Cyrl-BA"/>
        </w:rPr>
        <w:t xml:space="preserve">21/18 и 4/21 </w:t>
      </w:r>
      <w:r>
        <w:rPr>
          <w:sz w:val="22"/>
          <w:szCs w:val="22"/>
        </w:rPr>
        <w:t>)</w:t>
      </w:r>
    </w:p>
    <w:p w:rsidR="00897458" w:rsidRPr="005D3578" w:rsidRDefault="00897458" w:rsidP="000A6355">
      <w:pPr>
        <w:jc w:val="both"/>
        <w:rPr>
          <w:sz w:val="22"/>
          <w:szCs w:val="22"/>
        </w:rPr>
      </w:pPr>
      <w:r w:rsidRPr="005D3578">
        <w:rPr>
          <w:sz w:val="22"/>
          <w:szCs w:val="22"/>
        </w:rPr>
        <w:t xml:space="preserve">-Одлуке о </w:t>
      </w:r>
      <w:r>
        <w:rPr>
          <w:sz w:val="22"/>
          <w:szCs w:val="22"/>
        </w:rPr>
        <w:t xml:space="preserve">изради плана детаљне регулације  </w:t>
      </w:r>
      <w:r w:rsidR="00826F91" w:rsidRPr="00826F91">
        <w:rPr>
          <w:sz w:val="22"/>
          <w:szCs w:val="22"/>
          <w:lang w:val="sr-Cyrl-BA"/>
        </w:rPr>
        <w:t xml:space="preserve">изградњу постројења за пречишћавање отпадних вода </w:t>
      </w:r>
      <w:r w:rsidR="00826F91" w:rsidRPr="00826F91">
        <w:rPr>
          <w:sz w:val="22"/>
          <w:szCs w:val="22"/>
        </w:rPr>
        <w:t>и приступног пута</w:t>
      </w:r>
      <w:r w:rsidR="00826F91" w:rsidRPr="00826F91">
        <w:rPr>
          <w:sz w:val="22"/>
          <w:szCs w:val="22"/>
          <w:lang w:val="sr-Cyrl-BA"/>
        </w:rPr>
        <w:t xml:space="preserve"> на к.п. број 2327/2 КО Велика Река</w:t>
      </w:r>
      <w:r w:rsidR="00826F91" w:rsidRPr="00826F91">
        <w:rPr>
          <w:iCs/>
          <w:sz w:val="22"/>
          <w:szCs w:val="22"/>
          <w:lang w:val="sr-Cyrl-BA"/>
        </w:rPr>
        <w:t xml:space="preserve"> </w:t>
      </w:r>
      <w:r w:rsidRPr="005D3578">
        <w:rPr>
          <w:sz w:val="22"/>
          <w:szCs w:val="22"/>
        </w:rPr>
        <w:t>(„Сл.лист општине Мали Зворник“,бр.</w:t>
      </w:r>
      <w:r w:rsidR="000A6355">
        <w:rPr>
          <w:sz w:val="22"/>
          <w:szCs w:val="22"/>
          <w:lang w:val="sr-Cyrl-BA"/>
        </w:rPr>
        <w:t>02</w:t>
      </w:r>
      <w:r>
        <w:rPr>
          <w:sz w:val="22"/>
          <w:szCs w:val="22"/>
        </w:rPr>
        <w:t>/2</w:t>
      </w:r>
      <w:r w:rsidR="000A6355">
        <w:rPr>
          <w:sz w:val="22"/>
          <w:szCs w:val="22"/>
          <w:lang w:val="sr-Cyrl-BA"/>
        </w:rPr>
        <w:t>2</w:t>
      </w:r>
      <w:r w:rsidRPr="005D3578">
        <w:rPr>
          <w:sz w:val="22"/>
          <w:szCs w:val="22"/>
        </w:rPr>
        <w:t>)</w:t>
      </w:r>
    </w:p>
    <w:p w:rsidR="00897458" w:rsidRPr="005D3578" w:rsidRDefault="00897458" w:rsidP="00897458">
      <w:pPr>
        <w:jc w:val="both"/>
        <w:rPr>
          <w:iCs/>
          <w:sz w:val="22"/>
          <w:szCs w:val="22"/>
          <w:lang w:val="sr-Cyrl-BA"/>
        </w:rPr>
      </w:pPr>
      <w:r w:rsidRPr="00247F1D">
        <w:rPr>
          <w:noProof/>
          <w:sz w:val="22"/>
          <w:szCs w:val="22"/>
          <w:lang w:val="sr-Cyrl-BA"/>
        </w:rPr>
        <w:lastRenderedPageBreak/>
        <w:t>Услови и сагласности за израду плана детаљне регулације од јавних предузећа трошкове ће сносити Наручиоц</w:t>
      </w:r>
    </w:p>
    <w:p w:rsidR="00897458" w:rsidRPr="005D3578" w:rsidRDefault="00897458" w:rsidP="00897458">
      <w:pPr>
        <w:jc w:val="both"/>
        <w:rPr>
          <w:iCs/>
          <w:sz w:val="22"/>
          <w:szCs w:val="22"/>
          <w:lang w:val="sr-Cyrl-CS"/>
        </w:rPr>
      </w:pPr>
      <w:r w:rsidRPr="005D3578">
        <w:rPr>
          <w:iCs/>
          <w:sz w:val="22"/>
          <w:szCs w:val="22"/>
          <w:lang w:val="sr-Cyrl-CS"/>
        </w:rPr>
        <w:t xml:space="preserve">Геодетску подлогу обезбеђује </w:t>
      </w:r>
      <w:r>
        <w:rPr>
          <w:iCs/>
          <w:sz w:val="22"/>
          <w:szCs w:val="22"/>
          <w:lang w:val="sr-Cyrl-CS"/>
        </w:rPr>
        <w:t>Извршилац</w:t>
      </w:r>
    </w:p>
    <w:p w:rsidR="00897458" w:rsidRPr="005D3578" w:rsidRDefault="00897458" w:rsidP="00897458">
      <w:pPr>
        <w:pStyle w:val="Default"/>
        <w:jc w:val="both"/>
        <w:rPr>
          <w:sz w:val="22"/>
          <w:szCs w:val="22"/>
        </w:rPr>
      </w:pPr>
      <w:r w:rsidRPr="005D3578">
        <w:rPr>
          <w:sz w:val="22"/>
          <w:szCs w:val="22"/>
          <w:lang w:val="ru-RU"/>
        </w:rPr>
        <w:t>Рок извршења услуга : за израду планске документације  не дужи од годину  дана  од дана  потписивања уговора</w:t>
      </w:r>
    </w:p>
    <w:p w:rsidR="00897458" w:rsidRDefault="00897458" w:rsidP="00897458">
      <w:pPr>
        <w:jc w:val="both"/>
        <w:rPr>
          <w:noProof/>
          <w:sz w:val="22"/>
          <w:szCs w:val="22"/>
          <w:lang w:val="sr-Cyrl-CS"/>
        </w:rPr>
      </w:pPr>
    </w:p>
    <w:p w:rsidR="00863A14" w:rsidRPr="00FF65F7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</w:rPr>
      </w:pPr>
    </w:p>
    <w:p w:rsidR="00863A14" w:rsidRDefault="00863A14" w:rsidP="00897458">
      <w:pPr>
        <w:jc w:val="both"/>
        <w:rPr>
          <w:noProof/>
          <w:sz w:val="22"/>
          <w:szCs w:val="22"/>
          <w:lang w:val="sr-Cyrl-BA"/>
        </w:rPr>
      </w:pPr>
    </w:p>
    <w:p w:rsidR="00863A14" w:rsidRPr="00863A14" w:rsidRDefault="00863A14" w:rsidP="00897458">
      <w:pPr>
        <w:jc w:val="both"/>
        <w:rPr>
          <w:noProof/>
          <w:sz w:val="22"/>
          <w:szCs w:val="22"/>
          <w:lang w:val="sr-Cyrl-BA"/>
        </w:rPr>
      </w:pPr>
    </w:p>
    <w:p w:rsidR="00881EAA" w:rsidRDefault="00881EAA"/>
    <w:sectPr w:rsidR="00881EAA" w:rsidSect="00881E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32" w:rsidRDefault="00407B32" w:rsidP="00863A14">
      <w:r>
        <w:separator/>
      </w:r>
    </w:p>
  </w:endnote>
  <w:endnote w:type="continuationSeparator" w:id="0">
    <w:p w:rsidR="00407B32" w:rsidRDefault="00407B32" w:rsidP="0086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32" w:rsidRDefault="00407B32" w:rsidP="00863A14">
      <w:r>
        <w:separator/>
      </w:r>
    </w:p>
  </w:footnote>
  <w:footnote w:type="continuationSeparator" w:id="0">
    <w:p w:rsidR="00407B32" w:rsidRDefault="00407B32" w:rsidP="00863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458"/>
    <w:rsid w:val="00004D76"/>
    <w:rsid w:val="00020D27"/>
    <w:rsid w:val="000309D0"/>
    <w:rsid w:val="000A6355"/>
    <w:rsid w:val="000C6F30"/>
    <w:rsid w:val="000D1C34"/>
    <w:rsid w:val="001767F1"/>
    <w:rsid w:val="001E4F43"/>
    <w:rsid w:val="001E6CDC"/>
    <w:rsid w:val="0023630D"/>
    <w:rsid w:val="00247F1D"/>
    <w:rsid w:val="00345B4E"/>
    <w:rsid w:val="003667B6"/>
    <w:rsid w:val="003902DD"/>
    <w:rsid w:val="00396040"/>
    <w:rsid w:val="00407B32"/>
    <w:rsid w:val="00415990"/>
    <w:rsid w:val="004606EB"/>
    <w:rsid w:val="00461DFC"/>
    <w:rsid w:val="00487F55"/>
    <w:rsid w:val="004F1474"/>
    <w:rsid w:val="00531E1E"/>
    <w:rsid w:val="005463B0"/>
    <w:rsid w:val="005E06DD"/>
    <w:rsid w:val="00615B27"/>
    <w:rsid w:val="006A17B2"/>
    <w:rsid w:val="007B5AB5"/>
    <w:rsid w:val="007B7303"/>
    <w:rsid w:val="00826F91"/>
    <w:rsid w:val="00863A14"/>
    <w:rsid w:val="00881EAA"/>
    <w:rsid w:val="00897458"/>
    <w:rsid w:val="008D08DA"/>
    <w:rsid w:val="008D6DA8"/>
    <w:rsid w:val="0093077D"/>
    <w:rsid w:val="00974E6B"/>
    <w:rsid w:val="00AC0FA0"/>
    <w:rsid w:val="00AF7A3D"/>
    <w:rsid w:val="00B00AA3"/>
    <w:rsid w:val="00B9329B"/>
    <w:rsid w:val="00BB474F"/>
    <w:rsid w:val="00BD1CF4"/>
    <w:rsid w:val="00C56EA1"/>
    <w:rsid w:val="00C71592"/>
    <w:rsid w:val="00CB33B5"/>
    <w:rsid w:val="00CF5BD9"/>
    <w:rsid w:val="00D10B92"/>
    <w:rsid w:val="00D12C35"/>
    <w:rsid w:val="00EB1FEE"/>
    <w:rsid w:val="00EC0B78"/>
    <w:rsid w:val="00ED4B48"/>
    <w:rsid w:val="00EF3F5A"/>
    <w:rsid w:val="00F77858"/>
    <w:rsid w:val="00FB7FB9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5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9745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character" w:customStyle="1" w:styleId="DefaultChar">
    <w:name w:val="Default Char"/>
    <w:link w:val="Default"/>
    <w:rsid w:val="00897458"/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3A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A1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63A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A1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D6F8-05C8-4E20-9D9E-516BD7BC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draganam</dc:creator>
  <cp:lastModifiedBy>draganam</cp:lastModifiedBy>
  <cp:revision>29</cp:revision>
  <cp:lastPrinted>2021-07-22T11:07:00Z</cp:lastPrinted>
  <dcterms:created xsi:type="dcterms:W3CDTF">2021-05-28T06:27:00Z</dcterms:created>
  <dcterms:modified xsi:type="dcterms:W3CDTF">2022-04-20T10:26:00Z</dcterms:modified>
</cp:coreProperties>
</file>